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MS0061-01-2025-005333-81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Анфиногенова Евгения Григорьевича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 Е.Г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ЮНИКОРН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оженного по адресу: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Сургут,пр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Мира д.55 оф. 569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 Е.Г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Анфиногенова Е.Г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ЮНИКОРН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ЮНИКОРН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 Е.Г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 Е.Г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Анфиногенова Евгения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